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70"/>
        <w:gridCol w:w="9959"/>
        <w:gridCol w:w="14605"/>
        <w:gridCol w:w="1700"/>
        <w:gridCol w:w="90"/>
      </w:tblGrid>
      <w:tr>
        <w:trPr>
          <w:trHeight w:val="36" w:hRule="atLeast"/>
        </w:trPr>
        <w:tc>
          <w:tcPr>
            <w:tcW w:w="70" w:type="dxa"/>
          </w:tcPr>
          <w:p>
            <w:pPr>
              <w:pStyle w:val="EmptyCellLayoutStyle"/>
              <w:spacing w:after="0" w:line="240" w:lineRule="auto"/>
            </w:pPr>
          </w:p>
        </w:tc>
        <w:tc>
          <w:tcPr>
            <w:tcW w:w="9959" w:type="dxa"/>
          </w:tcPr>
          <w:p>
            <w:pPr>
              <w:pStyle w:val="EmptyCellLayoutStyle"/>
              <w:spacing w:after="0" w:line="240" w:lineRule="auto"/>
            </w:pPr>
          </w:p>
        </w:tc>
        <w:tc>
          <w:tcPr>
            <w:tcW w:w="14605" w:type="dxa"/>
          </w:tcPr>
          <w:p>
            <w:pPr>
              <w:pStyle w:val="EmptyCellLayoutStyle"/>
              <w:spacing w:after="0" w:line="240" w:lineRule="auto"/>
            </w:pPr>
          </w:p>
        </w:tc>
        <w:tc>
          <w:tcPr>
            <w:tcW w:w="1700" w:type="dxa"/>
          </w:tcPr>
          <w:p>
            <w:pPr>
              <w:pStyle w:val="EmptyCellLayoutStyle"/>
              <w:spacing w:after="0" w:line="240" w:lineRule="auto"/>
            </w:pPr>
          </w:p>
        </w:tc>
        <w:tc>
          <w:tcPr>
            <w:tcW w:w="90" w:type="dxa"/>
          </w:tcPr>
          <w:p>
            <w:pPr>
              <w:pStyle w:val="EmptyCellLayoutStyle"/>
              <w:spacing w:after="0" w:line="240" w:lineRule="auto"/>
            </w:pPr>
          </w:p>
        </w:tc>
      </w:tr>
      <w:tr>
        <w:trPr>
          <w:trHeight w:val="100" w:hRule="atLeast"/>
        </w:trPr>
        <w:tc>
          <w:tcPr>
            <w:tcW w:w="70" w:type="dxa"/>
            <w:tcBorders>
              <w:top w:val="single" w:color="808080" w:sz="23"/>
            </w:tcBorders>
          </w:tcPr>
          <w:p>
            <w:pPr>
              <w:pStyle w:val="EmptyCellLayoutStyle"/>
              <w:spacing w:after="0" w:line="240" w:lineRule="auto"/>
            </w:pPr>
          </w:p>
        </w:tc>
        <w:tc>
          <w:tcPr>
            <w:tcW w:w="9959" w:type="dxa"/>
            <w:tcBorders>
              <w:top w:val="single" w:color="808080" w:sz="23"/>
            </w:tcBorders>
          </w:tcPr>
          <w:p>
            <w:pPr>
              <w:pStyle w:val="EmptyCellLayoutStyle"/>
              <w:spacing w:after="0" w:line="240" w:lineRule="auto"/>
            </w:pPr>
          </w:p>
        </w:tc>
        <w:tc>
          <w:tcPr>
            <w:tcW w:w="14605" w:type="dxa"/>
            <w:tcBorders>
              <w:top w:val="single" w:color="808080" w:sz="23"/>
            </w:tcBorders>
          </w:tcPr>
          <w:p>
            <w:pPr>
              <w:pStyle w:val="EmptyCellLayoutStyle"/>
              <w:spacing w:after="0" w:line="240" w:lineRule="auto"/>
            </w:pPr>
          </w:p>
        </w:tc>
        <w:tc>
          <w:tcPr>
            <w:tcW w:w="1700" w:type="dxa"/>
          </w:tcPr>
          <w:p>
            <w:pPr>
              <w:pStyle w:val="EmptyCellLayoutStyle"/>
              <w:spacing w:after="0" w:line="240" w:lineRule="auto"/>
            </w:pPr>
          </w:p>
        </w:tc>
        <w:tc>
          <w:tcPr>
            <w:tcW w:w="90" w:type="dxa"/>
          </w:tcPr>
          <w:p>
            <w:pPr>
              <w:pStyle w:val="EmptyCellLayoutStyle"/>
              <w:spacing w:after="0" w:line="240" w:lineRule="auto"/>
            </w:pPr>
          </w:p>
        </w:tc>
      </w:tr>
      <w:tr>
        <w:trPr>
          <w:trHeight w:val="343" w:hRule="atLeast"/>
        </w:trPr>
        <w:tc>
          <w:tcPr>
            <w:tcW w:w="70" w:type="dxa"/>
          </w:tcPr>
          <w:p>
            <w:pPr>
              <w:pStyle w:val="EmptyCellLayoutStyle"/>
              <w:spacing w:after="0" w:line="240" w:lineRule="auto"/>
            </w:pPr>
          </w:p>
        </w:tc>
        <w:tc>
          <w:tcPr>
            <w:tcW w:w="9959" w:type="dxa"/>
          </w:tcPr>
          <w:tbl>
            <w:tblPr>
              <w:tblCellMar>
                <w:top w:w="0" w:type="dxa"/>
                <w:left w:w="0" w:type="dxa"/>
                <w:bottom w:w="0" w:type="dxa"/>
                <w:right w:w="0" w:type="dxa"/>
              </w:tblCellMar>
            </w:tblPr>
            <w:tblGrid>
              <w:gridCol w:w="9959"/>
            </w:tblGrid>
            <w:tr>
              <w:trPr>
                <w:trHeight w:val="265" w:hRule="atLeast"/>
              </w:trPr>
              <w:tc>
                <w:tcPr>
                  <w:tcW w:w="995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b/>
                      <w:color w:val="000000"/>
                      <w:sz w:val="18"/>
                      <w:u w:val="single"/>
                    </w:rPr>
                    <w:t xml:space="preserve">Quantidade de registros: 224</w:t>
                  </w:r>
                </w:p>
              </w:tc>
            </w:tr>
          </w:tbl>
          <w:p>
            <w:pPr>
              <w:spacing w:after="0" w:line="240" w:lineRule="auto"/>
            </w:pPr>
          </w:p>
        </w:tc>
        <w:tc>
          <w:tcPr>
            <w:tcW w:w="14605" w:type="dxa"/>
          </w:tcPr>
          <w:p>
            <w:pPr>
              <w:pStyle w:val="EmptyCellLayoutStyle"/>
              <w:spacing w:after="0" w:line="240" w:lineRule="auto"/>
            </w:pPr>
          </w:p>
        </w:tc>
        <w:tc>
          <w:tcPr>
            <w:tcW w:w="1700" w:type="dxa"/>
          </w:tcPr>
          <w:p>
            <w:pPr>
              <w:pStyle w:val="EmptyCellLayoutStyle"/>
              <w:spacing w:after="0" w:line="240" w:lineRule="auto"/>
            </w:pPr>
          </w:p>
        </w:tc>
        <w:tc>
          <w:tcPr>
            <w:tcW w:w="90" w:type="dxa"/>
          </w:tcPr>
          <w:p>
            <w:pPr>
              <w:pStyle w:val="EmptyCellLayoutStyle"/>
              <w:spacing w:after="0" w:line="240" w:lineRule="auto"/>
            </w:pPr>
          </w:p>
        </w:tc>
      </w:tr>
      <w:tr>
        <w:trPr>
          <w:trHeight w:val="168" w:hRule="atLeast"/>
        </w:trPr>
        <w:tc>
          <w:tcPr>
            <w:tcW w:w="70" w:type="dxa"/>
          </w:tcPr>
          <w:p>
            <w:pPr>
              <w:pStyle w:val="EmptyCellLayoutStyle"/>
              <w:spacing w:after="0" w:line="240" w:lineRule="auto"/>
            </w:pPr>
          </w:p>
        </w:tc>
        <w:tc>
          <w:tcPr>
            <w:tcW w:w="9959" w:type="dxa"/>
          </w:tcPr>
          <w:p>
            <w:pPr>
              <w:pStyle w:val="EmptyCellLayoutStyle"/>
              <w:spacing w:after="0" w:line="240" w:lineRule="auto"/>
            </w:pPr>
          </w:p>
        </w:tc>
        <w:tc>
          <w:tcPr>
            <w:tcW w:w="14605" w:type="dxa"/>
          </w:tcPr>
          <w:p>
            <w:pPr>
              <w:pStyle w:val="EmptyCellLayoutStyle"/>
              <w:spacing w:after="0" w:line="240" w:lineRule="auto"/>
            </w:pPr>
          </w:p>
        </w:tc>
        <w:tc>
          <w:tcPr>
            <w:tcW w:w="1700" w:type="dxa"/>
          </w:tcPr>
          <w:p>
            <w:pPr>
              <w:pStyle w:val="EmptyCellLayoutStyle"/>
              <w:spacing w:after="0" w:line="240" w:lineRule="auto"/>
            </w:pPr>
          </w:p>
        </w:tc>
        <w:tc>
          <w:tcPr>
            <w:tcW w:w="90" w:type="dxa"/>
          </w:tcPr>
          <w:p>
            <w:pPr>
              <w:pStyle w:val="EmptyCellLayoutStyle"/>
              <w:spacing w:after="0" w:line="240" w:lineRule="auto"/>
            </w:pPr>
          </w:p>
        </w:tc>
      </w:tr>
      <w:tr>
        <w:trPr/>
        <w:tc>
          <w:tcPr>
            <w:tcW w:w="70" w:type="dxa"/>
          </w:tcPr>
          <w:p>
            <w:pPr>
              <w:pStyle w:val="EmptyCellLayoutStyle"/>
              <w:spacing w:after="0" w:line="240" w:lineRule="auto"/>
            </w:pPr>
          </w:p>
        </w:tc>
        <w:tc>
          <w:tcPr>
            <w:tcW w:w="99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700"/>
              <w:gridCol w:w="832"/>
              <w:gridCol w:w="3401"/>
              <w:gridCol w:w="2097"/>
              <w:gridCol w:w="922"/>
              <w:gridCol w:w="3401"/>
              <w:gridCol w:w="2097"/>
              <w:gridCol w:w="907"/>
              <w:gridCol w:w="9070"/>
              <w:gridCol w:w="1417"/>
            </w:tblGrid>
            <w:tr>
              <w:trPr>
                <w:trHeight w:val="487" w:hRule="atLeast"/>
              </w:trPr>
              <w:tc>
                <w:tcPr>
                  <w:tcW w:w="1417"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Área</w:t>
                  </w:r>
                </w:p>
              </w:tc>
              <w:tc>
                <w:tcPr>
                  <w:tcW w:w="700"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Ano</w:t>
                  </w:r>
                </w:p>
              </w:tc>
              <w:tc>
                <w:tcPr>
                  <w:tcW w:w="832"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Nota Área</w:t>
                  </w:r>
                </w:p>
              </w:tc>
              <w:tc>
                <w:tcPr>
                  <w:tcW w:w="3401"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Questão</w:t>
                  </w:r>
                </w:p>
              </w:tc>
              <w:tc>
                <w:tcPr>
                  <w:tcW w:w="2097"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Questão Abreviada</w:t>
                  </w:r>
                </w:p>
              </w:tc>
              <w:tc>
                <w:tcPr>
                  <w:tcW w:w="922"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Nota Questão</w:t>
                  </w:r>
                </w:p>
              </w:tc>
              <w:tc>
                <w:tcPr>
                  <w:tcW w:w="3401"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Item Verificação</w:t>
                  </w:r>
                </w:p>
              </w:tc>
              <w:tc>
                <w:tcPr>
                  <w:tcW w:w="2097"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Item Verificação Abreviado</w:t>
                  </w:r>
                </w:p>
              </w:tc>
              <w:tc>
                <w:tcPr>
                  <w:tcW w:w="907"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Nota </w:t>
                  </w:r>
                </w:p>
                <w:p>
                  <w:pPr>
                    <w:spacing w:after="0" w:line="240" w:lineRule="auto"/>
                    <w:jc w:val="center"/>
                  </w:pPr>
                  <w:r>
                    <w:rPr>
                      <w:rFonts w:ascii="Tahoma" w:hAnsi="Tahoma" w:eastAsia="Tahoma"/>
                      <w:b/>
                      <w:color w:val="FFFFFF"/>
                      <w:sz w:val="20"/>
                    </w:rPr>
                    <w:t xml:space="preserve">I.V.</w:t>
                  </w:r>
                </w:p>
              </w:tc>
              <w:tc>
                <w:tcPr>
                  <w:tcW w:w="9070"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Questão Auxiliar</w:t>
                  </w:r>
                </w:p>
              </w:tc>
              <w:tc>
                <w:tcPr>
                  <w:tcW w:w="1417" w:type="dxa"/>
                  <w:tcBorders>
                    <w:top w:val="single" w:color="D3D3D3" w:sz="7"/>
                    <w:left w:val="single" w:color="D3D3D3" w:sz="7"/>
                    <w:bottom w:val="single" w:color="D3D3D3" w:sz="7"/>
                    <w:right w:val="single" w:color="D3D3D3" w:sz="7"/>
                  </w:tcBorders>
                  <w:shd w:val="clear" w:fill="086E9E"/>
                  <w:tcMar>
                    <w:top w:w="39" w:type="dxa"/>
                    <w:left w:w="39" w:type="dxa"/>
                    <w:bottom w:w="39" w:type="dxa"/>
                    <w:right w:w="39" w:type="dxa"/>
                  </w:tcMar>
                  <w:vAlign w:val="center"/>
                </w:tcPr>
                <w:p>
                  <w:pPr>
                    <w:spacing w:after="0" w:line="240" w:lineRule="auto"/>
                    <w:jc w:val="center"/>
                  </w:pPr>
                  <w:r>
                    <w:rPr>
                      <w:rFonts w:ascii="Tahoma" w:hAnsi="Tahoma" w:eastAsia="Tahoma"/>
                      <w:b/>
                      <w:color w:val="FFFFFF"/>
                      <w:sz w:val="20"/>
                    </w:rPr>
                    <w:t xml:space="preserve">Nota Questão Auxiliar</w:t>
                  </w:r>
                </w:p>
              </w:tc>
            </w:tr>
            <w:tr>
              <w:trPr>
                <w:trHeight w:val="205" w:hRule="atLeast"/>
              </w:trPr>
              <w:tc>
                <w:tcPr>
                  <w:tcW w:w="141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Saúde</w:t>
                  </w:r>
                </w:p>
              </w:tc>
              <w:tc>
                <w:tcPr>
                  <w:tcW w:w="700"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2024</w:t>
                  </w:r>
                </w:p>
              </w:tc>
              <w:tc>
                <w:tcPr>
                  <w:tcW w:w="83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7,25</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dos instrumentos de planejamento, monitoramento e avaliação no âmbito do sistema único de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Instrumentos de planejamento</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8,30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Os instrumentos de planejamento em saúde do Município contemplam metas estabelecidas para as ações e serviços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Planejamento em Saúde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9,50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13148. O Município possui Plano Municipal de Saúde (PMS) para o quadriênio 2022-2025, aprovado pelo Conselho Municipal de Saúde, publicado no site oficial do Município e inserido no sistema de informação Digisus?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13152. O Município possui Programação Anual de Saúde (PAS) aprovada pelo Conselho Municipal de Saúde, referente ao exercício de 2024, publicada no site oficial do Município e inserida no sistema de informação Digisus?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13156. O Plano Municipal de Saúde do quadriênio 2022-2025 contempla em seu conteúdo a análise situacional, a estrutura do sistema de saúde, as redes de atenção à saúde, as condições sociossanitárias, os fluxos de acesso, os recursos financeiros, a gestão do trabalho e educação na saúde, a ciência, tecnologia, a produção e inovação em saúde e gestão, a definição das diretrizes, objetivos, metas e indicadores e o processo de monitoramento e avaliação?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13157. A Programação Anual de Saúde do exercício 2024, contempla as ações que garantirão o alcance dos objetivos e o cumprimento das metas do Plano de Saúde, a identificação dos indicadores que serão utilizados para o monitoramento e a previsão da alocação dos recursos orçamentários?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13158. O Plano Municipal de Saúde e a Programação Anual de Saúde vigentes contemplam metas referentes ao fortalecimento, organização ou qualificação da Atenção Primária em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13159. O Plano Municipal de Saúde e a Programação Anual de Saúde vigentes contemplam metas referentes ao cuidado integral a saúde da mulher nas diferentes fases da vida?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13160. O Plano Municipal de Saúde e a Programação Anual de Saúde vigentes contemplam metas referentes ao cuidado integral a saúde da criança e do adolescente?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13161. O Plano Municipal de Saúde e a Programação Anual de Saúde vigentes contemplam metas referentes ao cuidado integral a saúde do homem nas diferentes fases da vida?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13162. O Plano Municipal de Saúde e a Programação Anual de Saúde vigentes contemplam metas referentes ao cuidado integral a saúde do idoso?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13163. O Plano Municipal de Saúde e a Programação Anual de Saúde vigentes contemplam metas referentes a prevenção e a da promoção da saúde frente ao conjunto das 5 principais Doenças Crônicas Não Transmissíveis (DCNT)?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13164. O Plano Municipal de Saúde e a Programação Anual de Saúde vigentes contemplam metas referentes ao cuidado integral as pessoas portadoras de deficiências?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13165. O Plano Municipal de Saúde e a Programação Anual de Saúde vigentes contemplam metas referentes a promoção e prevenção de agravos em Saúde Mental?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13166. O Plano Municipal de Saúde e a Programação Anual de Saúde vigentes contemplam metas referentes a oferta de serviços nos pontos de atenção da rede de urgência e emergência, hospitalar e ambulatoriais no 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13167. O Plano Municipal de Saúde e a Programação Anual de Saúde vigentes contemplam metas referentes ao fortalecimento, organização ou qualificação da Vigilância em Saúde?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13168. O Plano Municipal de Saúde e a Programação Anual de Saúde vigentes contemplam metas referentes ao fortalecimento, organização ou qualificação da Assistência Farmacêutica no 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13169. O Plano Municipal de Saúde e a Programação Anual de Saúde vigentes contemplam metas referentes ao Fortalecimento da Gestão do Trabalho e da Educação Permanente em Saúde?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13170. O Plano Municipal de Saúde e a Programação Anual de Saúde vigentes contemplam metas referentes ao fortalecimento do Controle Social, Participação Popular no SUS, bem como apresenta as propostas aprovadas em Conferências Municipais de Saúde?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13171. O Plano Municipal de Saúde e a Programação Anual de Saúde vigentes contemplam metas referentes ao fortalecimento da Gestão, Controle, Avaliação e Auditoria no SUS?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13172. As metas previstas no Plano Municipal de Saúde vigente foram inseridas no Plano Plurianual (PPA), garantindo a compatibilização dos instrumentos de planejamento do SUS aos instrumentos de planejamento governamental?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realiza o monitoramento e a avaliação anual das metas estabelecidas nos instrumentos de planejamento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Processo de monitoramento do Planejamento</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7,10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13174. O Relatório de Gestão referente ao exercício de 2023, foi submetido à apreciação pelo Conselho Municipal de Saúde, obtendo-se deste o parecer conclusivo sobre sua aprovação, reprovação ou aprovação com ressalvas?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13176. O Relatório de Gestão do exercício de 2023, apreciado pelo Conselho Municipal de Saúde, incluindo todos os seus anexos, foi publicado no site oficial do Município e inserido no sistema de informação Digisus?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13179. O Relatório de Gestão do exercício 2023, contemplou as diretrizes, objetivos e indicadores do Plano de Saúde, as metas da PAS previstas e executadas, a análise da execução orçamentária e as recomendações necessárias, incluindo eventuais redirecionamentos da PAS e do PMS?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13180. A Secretaria Municipal de Saúde apresentou os Relatórios Detalhados do Quadrimestre Anterior (RDQA), referentes ao 3º quadrimestre de 2023, 1º e 2º quadrimestres de 2024, até 28 de fevereiro, 30 de maio e 30 de setembro de 2024, respectivamente, em audiência pública na Câmara de Vereadores e junto ao Conselho Municipal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13182. Os Relatórios Detalhados do Quadrimestre Anterior (RDQA), referentes ao 3º quadrimestre de 2023, 1º e 2º quadrimestres de 2024, foram publicados no site oficial do Município e inseridos no sistema Digisus?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13185. Os Relatórios Detalhados do Quadrimestre Anterior (RDQA), referentes ao 3º quadrimestre de 2023, 1º e 2º quadrimestres de 2024, contemplaram o montante e fonte dos recursos aplicados no período, as auditorias realizadas ou em fase de execução no período e suas recomendações e determinações, a oferta e produção de serviços públicos na rede assistencial própria, contratada e conveniada, cotejando esses dados com os indicadores de saúde da população em seu âmbito de atuação?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13186. O Município possui responsável(eis) designado(os) para monitorar e avaliar a execução das diretrizes, objetivos e metas estabelecidas pelo Plano Municipal de Saúde referente ao quadriênio 2022-2025?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o aperfeiçoamento da gestão do trabalho no âmbito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Gestão do trabalho</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4,60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 força de trabalho, no âmbito da atenção básica em saúde, é dimensionada e preenchida de maneira adequada pelo Município?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Dimensionamento da força de trabalho</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2,00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13188. A Secretaria Municipal de Saúde realiza e mantém atualizado o dimensionamento de sua força de trabalho de modo a indicar o quantitativo ideal de profissionais necessários para compor o quadro de profissionais dos estabelecimentos de saúde próprios de acordo com a demanda e a oferta de serviços realizados?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13190. O quantitativo atual de profissionais, que atuam nos estabelecimentos de saúde próprios, está de acordo com a necessidade apontada pelo dimensionamento da força de trabalho e com os perfis de atuação dos trabalhadores?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13191. A Secretaria Municipal de Saúde realiza o planejamento dirigido à contratação e manutenção da força de trabalho de acordo com o dimensionamento da força de trabalho, prevendo a necessidade de realização de concursos, reposições em razão de aposentadoria, cobertura de licenças, entre outras?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13192. O Município realiza o planejamento dirigido à contratação e manutenção da força de trabalho buscando desprecarização dos vínculos através da realização de concurso público e instituição de Plano de Carreira, Cargos e Salários do âmbito de atuação dos trabalhadores do SUS?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13194. O Município propicia estrutura adequada e condições para desenvolvimento do trabalho, tais como ambiente físico limpo e adequado, materiais apropriados, equipamentos, EPIs, uniformes, entre outros que garantam a boa execução do trabalho e ainda a segurança física e ambiental?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promove a capacitação contínua e permanente de seus profissionais que atuam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Educação Permanente em Saúde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13195. A Secretaria Municipal de Saúde possui instrumento formal com a descrição das ações de Educação Permanente e Educação Continuada a serem realizadas em 2024 para os profissionais dos estabelecimentos de saúde municipais?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13197. As ações de Educação Permanente e de Educação Continuada são realizadas conforme levantamento dos problemas do território e das necessidades de formação e capacitação dos profissionais que atuam nos estabelecimentos de saúde municipais?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13198. Os profissionais de saúde do estabelecimento foram consultados e participaram da problematização do processo de trabalho para definição das necessidades de formação e capacitações para 2024?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13199. O Município ofertou ou propiciou a participação dos profissionais que atuam no estabelecimento de saúde em cursos de formação, atualização ou capacitações conforme necessidades previstas para serem trabalhadas em 2024?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13200. A Secretaria Municipal de Saúde possui cronograma pré-estabelecido com proteção da carga horária dos profissionais de saúde de seus estabelecimentos para realização de reuniões internas de alinhamento, problematização da realidade, análise e estudos de casos, e demais assuntos pertinentes para o desenvolvimento do trabalho no território?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13201. A Secretaria Municipal de Saúde estabelece um cronograma com proteção da carga horária dos profissionais que atuam no estabelecimento de saúde para realização de reuniões internas de alinhamento, problematização da realidade, análise e estudos de casos, e demais assuntos pertinentes para o desenvolvimento do trabalho no território?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práticas de coordenação, avaliação e autoavaliação das equipes e profissionais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Coordenação e Avaliação das equipes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1,70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13202. O Município dispõe de um profissional ou de uma equipe de profissionais formalmente designada para a função de coordenação/direção da atenção primária em saúde no âmbito municipal?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13204. A Unidade Básica de Saúde possui profissional designado para a função de gerente/coordenador que trabalhe exclusivamente para um único estabelecimento?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13205. O profissional responsável pela gerência/coordenação da Unidade Básica de Saúde exerce somente a função de gestor da unidade, ou seja, não acumula outra função dentro do próprio estabelecimento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13206. As equipes vinculadas à unidade de saúde têm acesso a informações e/ou relatórios gerenciais recebidos da Secretaria Municipal de Saúde para fins de planejamento das ações no território?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13207. O Município possui normatizado mecanismos periódicos de avaliação de desempenho em relação a atuação dos profissionais da Atenção Primária em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13209. O coordenador/gerente da UBS promove práticas periódicas de autoavaliação de suas equipes a fim de identificar oportunidades de melhorias nos serviços oferecidos?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que a Atenção Básica em Saúde atue como Coordenadora do Cuidado e Ordenadora das Ações e Serviços da Rede de Atenção à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Coordenação do cuidado</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4,30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organiza o fluxo de pessoas visando o acesso às ações e serviços de saúde tanto na atenção básica quanto em outros pontos da rede de atenção?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Organização do fluxo de pessoas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2,70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13210. O Município possui Procedimento Operacional Padrão (POP), ou outro instrumento, aprovado pelo Conselho Municipal de Saúde e publicizado no site oficial do Município que estabeleça normas, fluxos, rotinas de atendimento e serviços ofertados em suas Unidades Básicas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13213. O município possui profissional designado em ato oficial, responsável pela elaboração, revisão e atualização do (POP), ou outro documento, que dispõe sobre os serviços ofertados em suas Unidades Básicas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13215. Todos os profissionais de saúde que atuam na Unidade foram capacitados por profissional oficialmente designado, a fim de garantir a implementação das normas, fluxos e rotinas da oferta de serviços?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13216. O Município possui Protocolos de encaminhamento de usuários da Atenção Básica para a Atenção Especializada Ambulatorial, aprovado pelo Conselho Municipal de Saúde e publicizado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13219. O Município possui Protocolo(s) para agendamento e priorização de consultas e exames especializados, aprovado pelo Conselho Municipal de Saúde e publicizado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13222. A Unidade Básica de Saúde realiza o acolhimento dos pacientes da demanda espontânea com classificação de risco, garantindo o atendimento conforme a classificação realizada?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13224. A Secretaria Municipal de Saúde possui profissionais designados por ato oficial para elaboração, revisão e atualização dos Protocolos de encaminhamento, agendamento e de priorização de atendimentos na Atenção Especializada?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13226. A Secretaria Municipal de Saúde realiza atualização anual dos Protocolos de encaminhamento, agendamento e de priorização para atendimento na Atenção Especializada e Serviços de Urgência e Emergência?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13227. A Secretaria Municipal de Saúde realiza a capacitação de todos os profissionais de saúde do estabelecimento envolvidos no processo de encaminhamento, agendamento e de priorização de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13228. O Município publiciza, por meio do site oficial do município, o acesso à posição do usuário na lista de espera para a realização de consultas e exames de especialidades?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13230. O município possui Protocolos de encaminhamento de usuários da Atenção Básica para os Serviços de Urgência e Emergência, aprovado pelo Conselho Municipal de Saúde e publicizado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promove a comunicação entre atenção básica e os outros pontos da rede de atenção à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Comunicação entre a Atenção Básica e a Rede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2,20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13233. O Município possui procedimento operacional padrão (POP), ou outro instrumento, que estabeleça normas, fluxos e rotinas para que as equipes de atenção primária realizem o acompanhamento dos usuários que retornam dos outros pontos da Rede de Atenção à Saúde (RAS)?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13235. O Município possui procedimento operacional padrão (POP), ou outro instrumento, que estabeleça normas, fluxos e rotinas para o encaminhamento de usuários para tratamento fora do domicílio (TFD)?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13237. O(s) fluxo(s) estabelecido(s) para o encaminhamento de usuários para tratamento fora do domicílio (TFD) está(ão) publicado(s)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13239. O Município possui designado responsável(eis) pela elaboração, revisão e atualização do(s) POP(s) referente(s) ao encaminhamento de usuários para tratamento fora do domicílio (TFD)?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13241. O Município estabelece em seus contratos com instituições de saúde do serviço especializado a necessidade da realização da contrarreferência à atenção primária por parte dos profissionais?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13243. A Unidade Básica de Saúde realiza busca ativa dos pacientes encaminhados atenção especializada a fim de que os seus processos terapêuticos sejam continuados?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13244. Há integração entre as equipes vinculadas à unidade de saúde e os profissionais da atenção especializada através de orientações rotineiras, reuniões técnicas, prontuário eletrônico compartilhado ou sessões clínicas conjuntas?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13245. O Município instituiu prontuário eletrônico padronizado e integrado para o registro de informações em saúde em todas as suas unidades básicas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13246. A unidade de saúde utiliza prontuário eletrônico para o registro de informações em saúde (incluindo os atendimentos registrados inicialmente em prontuário físico, na indisponibilidade de conexão de internet na unidade de saúde, quando for o caso)?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monitora a resolutividade da Atenção Básica e promove o atendimento integral a seus usuários?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Resolutividade e atendimento integral</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8,00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13247. O Município possui indicadores instituídos para avaliar a taxa de resolutividade da Atenção Básica e realiza o monitoramento periódico dos mesmos?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13249. O Município dispõe de instrumento de análise ou indicador de monitoramento qualitativo dos encaminhamentos realizados para atenção especializada, de modo a identificar situações que poderiam ser tratadas no âmbito da atenção básica (identificação das causas sensíveis à atenção básica)?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13251. O Município monitora o percentual de absenteísmo dos usuários encaminhados pela Atenção Primária e as consultas efetivamente realizadas na atenção especializada?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13253. A Unidade Básica de Saúde realiza o acompanhamento do processo de marcação de consultas, exames e/ou procedimentos, visando garantir o efetivo agendamento e o comparecimento do usuário no atendimento especializado?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13254. A Unidade Básica de Saúde disponibiliza e realiza o Plano individual de cuidado matriciado entre os profissionais da Atenção Primária, da equipe multiprofissional e de especialistas, para os usuários identificados como alto risco?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o adequado processo de territorialização e estabelecimento de vínculos na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Territorialização e  vínculos</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7,80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realiza o processo de delimitação dos territórios de atuação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Delimitação de territórios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3,30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13255. O Município possui a delimitação de seu território em áreas de abrangência de uma Unidade de Saúde e em microáreas de atuação das equipes da Estratégia de Saúde da Família e da Atenção Primária à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13257. A delimitação territorial está disponibilizada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13259. A delimitação dos territórios foi realizada com base em estudo prévio, considerando o diagnóstico de aspectos geográficos, demográficos, socioeconômicos, epidemiológicos, de acessibilidade, taxa de utilização dos serviços, capacidade estrutural da UBS, entre outros?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13261. Houve a participação dos profissionais da atenção básica e da vigilância em saúde no processo de delimitação dos territórios de atuação da atenção básica em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13262. Houve a participação da equipe de planejamento urbano do município para a delimitação dos territórios?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13263. A delimitação do território de atuação das equipes da atenção primária foi apresentada e aprovada pelo Conselho Municipal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13265. O Município possui responsável(eis) designado(s) para a elaboração, avaliação e atualização da delimitação dos territórios de atuação das equipes da atenção primária?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13267. O Município realizou, no mínimo nos últimos 12 meses, a revisão e a atualização do mapeamento do território de atuação das equipes da Atenção Primária?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13268. As Unidades Básicas de Saúde possuem mapa fixado em local visível para os usuários identificarem o território de abrangência da mesma, bem como sua microárea de residência e equipe de saúde ao qual está vinculado?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estabelecem estratégias de atuação das equipes de saúde dentro dos territórios adstritos?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Estratégia de atuação nos territórios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13269. A unidade de saúde realiza o processo de mapeamento e territorialização da área de abrangência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13270. A unidade de saúde realiza o mapeamento do risco familiar e define a rotina de visitas dos Agentes Comunitários de Saúde de acordo com o grau de risco identificado?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13271. A unidade de saúde monitora a realização das visitas domiciliares dos ACS de acordo com a rotina estabelecida?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13272. A unidade de saúde possui Agentes Comunitários de Saúde ativos em quantitativo suficiente para cobertura de toda a área de abrangência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13273. Os Agentes Comunitários de Saúde possuem vínculo direto de no mínimo 40 horas semanais com o órgão ou a entidade da administração direta, autárquica ou fundacional?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13274. A unidade de saúde possui cronograma periódico de visitas domiciliares por profissionais médico e/ou enfermeiro de acordo com o grau de risco familiar e/ou necessidades dos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Os agentes comunitários de saúde atuam em seus territórios de acordo com as estratégias estabelecidas pelas unidades de saúde e de acordo com as atribuições definidas pela Política Nacional de Atenção Básica?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Atuação nos territórios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13275. Os Agentes Comunitários de Saúde realizam e mantém atualizados os cadastros da população de sua área de atuação?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13276. Os Agentes Comunitários de Saúde realizam o acompanhamento e monitoramento de usuários com doenças crônicas e dos que possuem déficit de locomoção?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13277. Os Agentes Comunitários de Saúde realizam o compartilhamento de informações com os demais integrantes de sua equipe (médicos, enfermeiros etc.) para que decisões sejam tomadas a respeito de determinado tratamento e/ou monitoramento dentro de seu território?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13278. A Unidade de Saúde realiza a integração entre os Agentes Comunitários de Saúde e os Agentes de Combate de Endemias na realização de ações no território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disponibiliza, em suas unidades de saúde, as ações e os serviços essenciais à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Oferta de serviços</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8,60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dispõem de ações e serviços relacionados ao cuidado e atenção à saúde da mulher?</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Saúde da mulher</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13279. A Unidade de Saúde realiza a busca ativa de mulheres cadastradas e vinculadas às equipes da UBS na faixa etária preconizada de 25 a 64 anos para realização de exames preventivos de câncer de colo uterino?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13280. A Unidade de Saúde realiza a busca ativa de mulheres cadastradas e vinculadas às equipes da UBS na faixa etária preconizada de 50 a 69 anos para realização de exames preventivos de câncer de mama?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13281. A Unidade de Saúde realiza o acompanhamento das mulheres cadastradas e vinculadas às equipes da UBS diagnosticadas com câncer de colo uterino durante e após o tratamento realizado na atenção especializada?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13282. A Unidade de Saúde realiza o acompanhamento das mulheres cadastradas e vinculadas às equipes da UBS diagnosticadas com câncer de mama durante e após o tratamento realizado na atenção especializada?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13283. A Unidade de Saúde desenvolve ações de planejamento familiar para as mulheres cadastradas e vinculadas às equipes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13284. A Unidade de Saúde realiza a busca ativa das gestantes cadastradas e vinculadas às equipes da UBS para a realização de consulta de pré-natal?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13285. A caderneta/carteira de gestante é disponibilizada e preenchida de forma completa pela Unidade de Saúde para todas as gestantes cadastradas e vinculadas às equipes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13286. A Unidade de Saúde realiza a primeira consulta pré-natal das gestantes cadastradas e vinculadas às equipes da UBS até a 12ª (décima segunda) semana da gestação?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13287. A Unidade de Saúde realiza pelo menos 06 (seis) consultas pré-natal a todas as gestantes cadastradas e vinculadas às equipes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13288. A Unidade de Saúde realiza a estratificação de risco das gestantes cadastradas e vinculadas às equipes da UBS em todas as consultas de pré-natal realizadas?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13289. A Unidade de Saúde realiza ao menos uma consulta odontológica durante a gestação para as gestantes cadastradas e vinculadas às equipes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13290. A Unidade de Saúde realiza os exames para Sífilis e HIV nas gestantes cadastradas e vinculadas às equipes da UBS na primeira consulta de pré-natal e no terceiro trimestre de gravidez?</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13291. A Unidade de Saúde realiza o acompanhamento das gestantes do território classificadas com grau de risco intermediário e alto risco, encaminhadas para a atenção ambulatorial especializada?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13292. A Unidade de Saúde realiza as consultas de puerpério pelo profissional médico ou enfermeiro para as puérperas cadastradas e vinculadas às equipes da UBS, sendo uma consulta de 7 a 10 dias após o parto e a outra de 30 a 40 dias após o parto?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13293. A Unidade de Saúde realiza a vacinação das gestantes conforme o Programa Nacional de Imunização (PNI)?</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dispõem de ações e serviços relacionados aos cuidados e atenção à saúde da criança?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Saúde da criança</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13294. A unidade de saúde realiza a primeira consulta de todos os recém nascidos em até 10 dias após o nascimento?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13295. A unidade de saúde efetua a busca ativa dos recém-nascidos que não realizam a primeira consulta em até 10 dias após o nascimento?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13296. A unidade de saúde desenvolve ações individuais de promoção ao aleitamento materno exclusivo para crianças até o sexto mês de vida?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13297. A unidade de saúde realiza o acompanhamento com pelo menos 9 consultas para as crianças desde o nascimento até 02 anos de vida?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13298. A unidade de saúde realiza a oferta de serviços e encaminhamentos da criança a partir da estratificação de risco?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13299. A unidade de saúde fornece e realiza o preenchimento da caderneta da criança para todas as crianças até os 09 anos completos?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13300. A unidade de saúde cumpre com as metas preconizadas no calendário de vacinação para as crianças menores de 01 ano de sua área de abrangência?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13301. A unidade de saúde realiza a busca ativa de crianças de até 01 ano e que estejam com atraso de doses do calendário de vacinação?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dispõem de ações e serviços relacionados aos cuidados e atenção à saúde dos idosos?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Saúde do Idoso</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13302. A Unidade de Saúde realiza o rastreamento dos idosos do seu território através da aplicação do Índice de Vulnerabilidade Clínico-Funcional (IVCF-20)?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13303. A Unidade de Saúde realiza a primeira consulta de acompanhamento a todos os idosos após a classificação obtida com o IVCF-20?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13304. A Unidade de Saúde realiza o acompanhamento de todos os idosos de acordo com a classificação do IVCF-20?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13305. A Unidade de Saúde realiza avaliação multidimensional e elabora um plano de cuidados para os idosos estratificados como frágeis ou em risco de fragilização?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13306. A Unidade de Saúde encaminha os idosos classificados como frágeis ou em risco de fragilização para a Atenção Ambulatorial Especializada (AAE)?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13307. A Unidade de Saúde acompanha os idosos encaminhados para a Atenção Ambulatorial Especializada (AAE)?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13308. A Unidade de Saúde monitora e reavalia a estratificação de risco do IVCF-20?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dispõem de ações e serviços relacionados ao atendimento de usuários com doenças crônicas?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Doenças crônicas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13309. A unidade de saúde identifica e realiza a estratificação de risco dos usuários cadastrados no território e diagnosticados com doenças crônicas?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13310. A unidade de saúde realiza ao menos 1 consulta com aferição de pressão arterial, a cada 6 meses, para todos os pacientes do território diagnosticados com hipertensão arterial?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13311. A unidade de saúde realiza ao menos 1 consulta com solicitação de exame de hemoglobina glicada para todos os pacientes diagnosticados com diabetes?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13312. A unidade de saúde realiza exame no pé dos usuários diabéticos com periodicidade definida conforme estratificação de riscos?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13313. A unidade de saúde organiza as consultas e exames de pessoas com hipertensão e diabetes em conforme preconizado na estratificação de risco?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13314. O Município realiza ações de âmbito municipal para sensibilização da população sobre os cuidados e prevenção da Hipertensão Arterial e Diabetes ao menos 1 vez por ano?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realizam pequenos procedimentos e/ou pequenas cirurgias?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Pequenos procedimentos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2,90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13316. O município possui protocolo, POP ou outro instrumento para realização de pequenos procedimentos em suas unidades básicas de saúde, tais como, drenagem de abcesso, sutura, lavagem de ouvido, retirada de pontos?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13318. A unidade de saúde possui programação de agenda para realização de pequenos procedimentos, tais como, drenagem de abcesso, sutura, lavagem de ouvido, retirada de pontos?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13319. A unidade de saúde realiza drenagem de abcesso?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13320. A unidade de saúde realiza sutura?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13321. A unidade de saúde realiza a retirada de pontos e/ou remoção de sutura?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13322. A unidade de saúde realiza lavagem de ouvido?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13323. A unidade de saúde realiza pequenos procedimentos que não necessitem de agendamento posterior conforme demanda espontânea?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a promoção da saúde e a prevenção de doenças no âmbito da Atenção Básica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Promoção da saúde</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9,80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ações a fim de promover a integração entre a atenção básica e a vigilância em saúde?</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Integração entre Atenção Básica e Vigilância Sanitária</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13324. O Município possui o cargo de Agentes de Combate às Endemias (ACE) e conta com profissionais investidos segundo o quantitativo recomendado?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13327. As estratégias e a forma de atuação no território adscrito são discutidas e planejadas entre as equipes e profissionais vinculados à unidade de saúde e os profissionais de vigilância em saúde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13328. As equipes e profissionais vinculados à unidade de saúde têm acesso a informações e/ou relatórios da vigilância em saúde, para fins de planejamento de suas ações?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13329. Os Agentes de Combate às Endemias (ACE) e Agentes Comunitários de Saúde vinculados à unidade de saúde atuam de forma integrada, compartilhando informações e realizando as ações que lhes são comuns dentro de seu território adscrito?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do Núcleo de Segurança do Paciente instituído para as unidades de saúde da Atenção Básica?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Núcleo de segurança do paciente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13330. O Município possui Núcleo de Segurança do Paciente (NSP)?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13332. O Núcleo de Segurança do Paciente estabelece um plano de ação (plano de segurança do paciente) para as unidades de saúde da atenção primária?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13334. A unidade de saúde é capacitada pela gestão municipal sobre o plano de ação (plano de segurança do paciente) elaborado pelo núcleo de segurança do paciente?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realizam ações voltadas à promoção da saúde e à prevenção de doenças em seus territórios?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Ações de promoção da saúde e prevenção de doenças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13335. O município possui Plano de Contingência atualizado para enfrentamento de situações de surtos, epidemias e pandemias?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13337. As equipes e os profissionais vinculados à unidade de saúde realizaram nos últimos 12 meses, a busca ativa de sintomáticos respiratórios para investigação de Tuberculose e de pacientes com manchas para investigação de Hanseníase?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13338. Os profissionais vinculados à unidade de saúde realizam o acompanhamento e a busca ativa dos usuários em tratamento para Tuberculose e Hanseníase, a fim de evitar a resistência aos tratamentos preconizados?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13339. A unidade de saúde realiza o monitoramento da taxa de cura de Tuberculose e Hanseníase?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13340. As equipes e os profissionais vinculados à unidade de saúde realizaram nos últimos 12 meses, ações com o objetivo de identificar usuários com HIV e Sífilis?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13341. As equipes e os profissionais vinculados à unidade de saúde realizam a busca ativa de usuários a fim de evitar o abandono e a resistência aos tratamentos preconizados?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ações a fim de aumentar o alcance da vacinação em sua população?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Aumento do alcance da vacinação</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9,20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13342. O Município dispõe de Procedimento Operacional Padrão (POP), ou outro instrumento, que oriente o processo de distribuição das vacinas recebidas para a execução do Programa Nacional de Imunizações (PNI), de acordo com as necessidades e peculiaridades da população de cada território vinculado a uma unidade básica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13344. A unidade de saúde, nos últimos 12 meses, promoveu ações ou campanhas para orientação e conscientização da população de seu território sobre a importância do cumprimento do esquema básico de vacinação?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13345. A unidade de saúde realiza o planejamento anual das ações para alcançar a cobertura vacinal da população do território, com o envolvimento de toda a equipe multidisciplinar, formalizando-o em documento específico e registrando em ata as reuniões realizadas?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13346. A unidade de saúde realiza reuniões quadrimestrais com todos os integrantes da equipe multidisciplinar para o monitoramento e revisão do planejamento das ações para o alcance de metas vacinais da população do território, formalizando-a em ata?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13347. A unidade de saúde dispõe de norma e fluxo para notificação das autoridades competentes nos casos de negligência envolvendo a não vacinação de crianças e adolescentes menores de 18 anos?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13348. Nos últimos 12 meses, a unidade de saúde realizou ao menos uma ação exclusiva de combate a Fake News sobre a vacinação para os usuários do território, dispondo de lista de presença dos participantes?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13349. A unidade de saúde dispõe de mapeamento e plano de ação frente aos motivos que ensejaram a ausência de vacinação dos usuários identificados com atraso vacinal em seu território?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13350. A unidade de saúde garante a oferta de vacinas a todos os usuários que buscam o serviço, independentemente do tipo de vacina, desde a abertura até o fechamento da UBS?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13351. A unidade de saúde possui calendário pré-fixado de abertura das salas de vacina em dias e horários diferenciados, flexibilizando o acesso da população aos imunobiológicos e ampliando a cobertura vacinal em períodos distintos dos das campanhas?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13352. A unidade de saúde possui profissional habilitado e treinado para atuação em sala de vacina durante todo o período de funcionamento da unidade?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13353. A unidade de saúde, nos últimos 12 meses, promoveu ações ou campanhas de vacinação extramuros (fora da unidade básica de saúde, como em escolas, casas de idosos, entre outros) quando identificada a necessidade devido ao não alcance das metas de vacinação?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13354. A unidade de saúde realiza a busca ativa dos usuários faltosos à vacinação para o cumprimento do calendário nacional de imunização?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13355. A unidade de saúde monitora o percentual da população de seu território que está em dia (ou em atraso/faltosos) com as vacinas estabelecidas pelo cronograma nacional de vacinação?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que a Assistência Farmacêutica na Atenção Básica em Saúde proporcione o acesso equitativo aos medicamentos e garanta o seu uso de forma adequada?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Assistência Farmacêutica</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7,50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critérios e procedimentos para a seleção e a programação dos medicamentos disponibilizados à população?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Seleção e programação de medicamentos</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5,00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13356. O Município possui a Relação Municipal de Medicamentos Essenciais (Remume) e a mantém atualizada?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13358. A REMUME está publicada no site oficial do Município?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13360. O Município possui designada a Comissão de Farmácia e Terapêutica - CFT?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13362. A Comissão de Farmácia e Terapêutica possui Regimento Interno de Funcionamento?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13364. A Comissão de Farmácia e Terapêutica - CFT realiza as reuniões de acordo o Regimento Interno de Funcionamento?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13366. A Comissão de Farmácia e Terapêutica - CFT elaborou Procedimento Interno, baseado em critérios técnicos, epidemiológicos e econômicos de elaboração, revisão e atualização da REMUME?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13368. A REMUME foi aprovada pelo Conselho Municipal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13370. O Município possui procedimento operacional padrão (POP), ou outro instrumento, que estabeleça normas, fluxos e rotinas para o processo de programação, aquisição, recebimento e dispensação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13372. O Município possui designado responsável(eis) pela programação, aquisição, recebimento e dispensação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13374. Os profissionais envolvidos no processo de programação, aquisição, recebimento e dispensação de medicamentos recebem capacitação do Município para atuação em seus respectivos setores?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procedimentos para o recebimento, dispensação e o controle do estoque de medicamentos?</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Recebimento, dispensação e controle do estoque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8,80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13375. O Município possui procedimento operacional padrão (POP), ou outro instrumento, que estabeleça normas, fluxos e rotinas para os procedimentos preventivos para evitar perda de medicamentos por expiração da validade?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13377. O Município possui procedimento operacional padrão (POP), ou outro instrumento, que estabeleça normas, fluxos e rotinas para a execução das atividades de limpeza e higienização dos locais destinados ao armazenamento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13379. Os profissionais da unidade de dispensação receberam capacitação do Município nos últimos 12 meses sobre o POP estabelecido para evitar perda de medicamentos por expiração do prazo de validade?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13380. Os profissionais da unidade de dispensação receberam capacitação do Município nos últimos 12 meses sobre o POP de higienização e limpeza dos locais destinados ao armazenamento dos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13381. A unidade de dispensação realiza o inventário físico atualizado dos medicamentos armazenados no estabelecimento?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13382. A unidade de dispensação dispõe de sistema informatizado para controle do estoque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13383. O Município possui sistema informatizado para o controle da dispensação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13384. O Município disponibiliza informações em tempo real, no site oficial sobre os medicamentos disponíveis na farmácia básica? </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dispõe de ações voltadas ao cuidado farmacêutico na atenção básica?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Cuidado farmacêutico na Atenção Básica</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7,80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13386. O Município possui instituído o serviço de consulta farmacêutica no âmbito da atenção básica em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13387. Os profissionais responsáveis pela dispensação de medicamentos são orientados e supervisionados por um profissional farmacêutico?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13388. A unidade de saúde dispõe do serviço de consulta farmacêutica de forma individual com seus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13389. A unidade de saúde conta com sala disponível para a realização de consulta farmacêutica?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13390. O farmacêutico realiza ações de revisão da farmacoterapia e orientações sobre interações medicamentosas?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13391. O farmacêutico realiza ações de conciliação dos medicamentos utilizados pelos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13392. O farmacêutico realiza ações para avaliação e promoção da adesão terapêutica pelos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13393. O farmacêutico realiza ações de acompanhamento dos resultados da farmacoterapia em seus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13394. Há a integração entre os profissionais da unidade de dispensação e os profissionais da unidade básica de saúde com o objetivo de compartilhamento de informações com vistas à obtenção de melhores resultados em saúde e respostas positivas relacionadas à farmacoterapia?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dispensação de medicamentos possuem condições de ambiência, conservação, instalações físicas e equipamentos adequados para o seu funcionamento?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Estrutura física das unidades de dispensação</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8,30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13395. O local de armazenamento dos medicamentos é protegido da luz direta do sol?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13396. O local de armazenamento dos medicamentos no estabelecimento está livre de goteiras, infiltrações e mofo?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13397. Os medicamentos armazenados no estabelecimento estão em prateleiras afastadas da parede e do chão?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13398. São realizadas atividades de verificação diária de temperatura e umidade dos locais destinados ao armazenamento de medicamentos no estabelecimento?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13401. A unidade de dispensação possui área de estocagem (almoxarifado)?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13402. A unidade de dispensação possui computador para o controle de dispensação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ações do Município contribuem para uma adequada estrutura física e para disponibilizar equipamentos adequados nas unidades de saúde da Atenção Básica?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Estrutura física</w:t>
                  </w:r>
                </w:p>
              </w:tc>
              <w:tc>
                <w:tcPr>
                  <w:tcW w:w="922"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7,10</w:t>
                  </w: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O Município realiza o diagnóstico periódico sobre as necessidades de construção, adequação, aquisição ou manutenção da estrutura física, equipamentos e mobiliários de suas unidades de saúde da atenção básica?</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Diagnóstico da estrutura das unidades de saúde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5,70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13403. O Município realizou, nos últimos 12 meses, o diagnóstico sobre as condições estruturais de suas unidades básicas de saúde a fim de identificar necessidades de construção, reforma, adequação ou manutenção de suas instalações físicas?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13405. O Município realizou, nos últimos 12 meses, o diagnóstico sobre as necessidades de aquisição, manutenção ou substituição de mobiliários e equipamentos utilizados nas unidades básicas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13407. A unidade de saúde reporta, formalmente à Secretaria Municipal de Saúde, as necessidades de manutenção e/ou reforma em sua estrutura física?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13408. A unidade de saúde tem suas demandas atendidas pela Gestão Municipal, sobre as necessidades de manutenção e/ou reforma em sua estrutura física?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13409. A unidade de saúde reporta formalmente à Secretaria Municipal de Saúde, as necessidades de aquisição e/ou manutenção de seus equipamento e mobiliários?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13410. A unidade de saúde tem suas demandas atendidas pela Gestão Municipal, sobre as necessidades de aquisição e/ou manutenção de seus equipamento e mobiliários?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13411. A Secretaria Municipal de Saúde realiza o monitoramento das necessidades elencadas pelas Unidades Básicas de Saúde e pelo diagnóstico de condições estruturais realizado nos últimos 12 meses a fim de identificar o percentual de demandas atendidas?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possuem condições de ambiência, conservação e estrutura física necessárias para o seu adequado funcionamento?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Adequação da estrutura nas unidades de saú</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6,70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13413. A unidade básica de saúde garante acessibilidade a pessoas com deficiência, gestantes e idosos?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13414. A unidade básica de saúde possui ambientes com boa ventilação e climatização?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13415. Os pisos e paredes da unidade básica de saúde são superfícies laváveis?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13416. A unidade básica de saúde possui consultórios suficientes para o número de profissionais que realizam atendimento ao usuário?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13417. A unidade básica de saúde possui consultório com sanitário para atendimento ginecológico?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13418. A unidade básica de saúde possui consultório odontológico compatível com o número de profissionais de odontologia?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13419. A unidade básica de saúde possui sala de procedimentos e curativos?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13420. A unidade básica de saúde possui sala exclusiva de vacina?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13421. A unidade básica de saúde possui sala equipada para preparo dos pacientes em tamanho adequado?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13422. A unidade básica de saúde possui sala de limpeza, esterilização e armazenamento de materiais?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13423. A unidade básica de saúde possui abrigo de recipiente de resíduos (lixo)?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13424. A unidade básica de saúde possui unidade de dispensação de medicamentos?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13425. A unidade básica de saúde possui recepção com capacidade para acolher todos os usuários de forma confortável enquanto aguardam o atendimento?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13426. A unidade básica de saúde possui sala para realização de reuniões entre profissionais e pequenos grupos de usuários do serviço?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13427. A unidade básica de saúde possui sala em tamanho adequado e equipada com computadores para os ACS e 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13428. A unidade básica de saúde possui sanitários com acessibilidade para o uso exclusivo dos funcionários?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13429. A unidade básica de saúde possui sanitários com acessibilidade para o uso exclusivo dos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13430. O Município possui abrigo específico para guarda e manuseio de substâncias químicas ou biológicas (veneno) e equipamentos utilizados para controle das arboviroses?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As unidades de saúde da atenção básica possuem os equipamentos necessários para o seu adequado funcionamento?</w:t>
                  </w:r>
                </w:p>
              </w:tc>
              <w:tc>
                <w:tcPr>
                  <w:tcW w:w="209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Adequação dos equipamentos nas unidades de saúde</w:t>
                  </w:r>
                </w:p>
              </w:tc>
              <w:tc>
                <w:tcPr>
                  <w:tcW w:w="907" w:type="dxa"/>
                  <w:vMerge w:val="restart"/>
                  <w:tcBorders>
                    <w:top w:val="single"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9,00</w:t>
                  </w: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13431. A unidade básica de saúde possui aparelhos de pressão em quantitativo suficiente para utilização dos profissionais e em dimensões específicas para aferição em pacientes adulto, infantil e obesos?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13432. A unidade básica de saúde possui aparelhos de estetoscópio em quantitativo suficiente para utilização dos profissionais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13433. A unidade básica de saúde possui termômetro clínico, lanterna clínica, glicosímetro e otoscópio em quantitativo suficiente para utilização dos profissionais de saúde?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13434. A unidade básica de saúde possui maca/mesa para exame clínico e exame ginecológico em quantitativos suficientes?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13435. A unidade básica de saúde possui autoclave e seladora para esterilização de materiais?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13436. A unidade básica de saúde possui equipamentos para atendimento de urgência e emergência?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13437. A unidade básica de saúde possui computadores em quantitativo suficiente para os registros de atendimentos e agendamentos das consultas na recepção, nos consultórios, nas salas dos agentes comunitários de saúde e na sala de vacina?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13438. A unidade básica de saúde possui conservadora específica, em quantitativo suficiente, utilizada exclusivamente e para conservação de vacinas, soros e imunoglobulinas?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nil"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13439. A unidade básica de saúde realiza o controle de temperatura e higienização conservadora da sala de vacina e apresenta plano de contingência para queda de energia?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r>
              <w:trPr>
                <w:trHeight w:val="205" w:hRule="atLeast"/>
              </w:trPr>
              <w:tc>
                <w:tcPr>
                  <w:tcW w:w="141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700"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83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22"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3401"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209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 w:type="dxa"/>
                  <w:vMerge w:val="continue"/>
                  <w:tcBorders>
                    <w:top w:val="nil"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pPr>
                </w:p>
              </w:tc>
              <w:tc>
                <w:tcPr>
                  <w:tcW w:w="907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Tahoma" w:hAnsi="Tahoma" w:eastAsia="Tahoma"/>
                      <w:color w:val="000000"/>
                      <w:sz w:val="18"/>
                    </w:rPr>
                    <w:t xml:space="preserve">13440. A unidade básica de saúde possui os insumos (agulhas, seringas, entre outros) em quantidade suficiente para garantir a vacinação de seus usuários?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center"/>
                  </w:pPr>
                  <w:r>
                    <w:rPr>
                      <w:rFonts w:ascii="Tahoma" w:hAnsi="Tahoma" w:eastAsia="Tahoma"/>
                      <w:color w:val="000000"/>
                      <w:sz w:val="18"/>
                    </w:rPr>
                    <w:t xml:space="preserve">10,00</w:t>
                  </w:r>
                </w:p>
              </w:tc>
            </w:tr>
          </w:tbl>
          <w:p>
            <w:pPr>
              <w:spacing w:after="0" w:line="240" w:lineRule="auto"/>
            </w:pPr>
          </w:p>
        </w:tc>
        <w:tc>
          <w:tcPr>
            <w:tcW w:w="1460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0" w:type="dxa"/>
          </w:tcPr>
          <w:p>
            <w:pPr>
              <w:pStyle w:val="EmptyCellLayoutStyle"/>
              <w:spacing w:after="0" w:line="240" w:lineRule="auto"/>
            </w:pPr>
          </w:p>
        </w:tc>
      </w:tr>
      <w:tr>
        <w:trPr>
          <w:trHeight w:val="116" w:hRule="atLeast"/>
        </w:trPr>
        <w:tc>
          <w:tcPr>
            <w:tcW w:w="70" w:type="dxa"/>
          </w:tcPr>
          <w:p>
            <w:pPr>
              <w:pStyle w:val="EmptyCellLayoutStyle"/>
              <w:spacing w:after="0" w:line="240" w:lineRule="auto"/>
            </w:pPr>
          </w:p>
        </w:tc>
        <w:tc>
          <w:tcPr>
            <w:tcW w:w="9959" w:type="dxa"/>
          </w:tcPr>
          <w:p>
            <w:pPr>
              <w:pStyle w:val="EmptyCellLayoutStyle"/>
              <w:spacing w:after="0" w:line="240" w:lineRule="auto"/>
            </w:pPr>
          </w:p>
        </w:tc>
        <w:tc>
          <w:tcPr>
            <w:tcW w:w="14605" w:type="dxa"/>
          </w:tcPr>
          <w:p>
            <w:pPr>
              <w:pStyle w:val="EmptyCellLayoutStyle"/>
              <w:spacing w:after="0" w:line="240" w:lineRule="auto"/>
            </w:pPr>
          </w:p>
        </w:tc>
        <w:tc>
          <w:tcPr>
            <w:tcW w:w="1700" w:type="dxa"/>
          </w:tcPr>
          <w:p>
            <w:pPr>
              <w:pStyle w:val="EmptyCellLayoutStyle"/>
              <w:spacing w:after="0" w:line="240" w:lineRule="auto"/>
            </w:pPr>
          </w:p>
        </w:tc>
        <w:tc>
          <w:tcPr>
            <w:tcW w:w="90"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561" w:h="31680"/>
      <w:pgMar w:top="1791" w:right="566" w:bottom="1231" w:left="566" w:header="566" w:footer="566"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70"/>
      <w:gridCol w:w="3834"/>
      <w:gridCol w:w="22521"/>
    </w:tblGrid>
    <w:tr>
      <w:trPr/>
      <w:tc>
        <w:tcPr>
          <w:tcW w:w="70" w:type="dxa"/>
        </w:tcPr>
        <w:p>
          <w:pPr>
            <w:pStyle w:val="EmptyCellLayoutStyle"/>
            <w:spacing w:after="0" w:line="240" w:lineRule="auto"/>
          </w:pPr>
        </w:p>
      </w:tc>
      <w:tc>
        <w:tcPr>
          <w:tcW w:w="3834" w:type="dxa"/>
        </w:tcPr>
        <w:tbl>
          <w:tblPr>
            <w:tblCellMar>
              <w:top w:w="0" w:type="dxa"/>
              <w:left w:w="0" w:type="dxa"/>
              <w:bottom w:w="0" w:type="dxa"/>
              <w:right w:w="0" w:type="dxa"/>
            </w:tblCellMar>
          </w:tblPr>
          <w:tblGrid>
            <w:gridCol w:w="3834"/>
          </w:tblGrid>
          <w:tr>
            <w:trPr>
              <w:trHeight w:val="209" w:hRule="atLeast"/>
            </w:trPr>
            <w:tc>
              <w:tcPr>
                <w:tcW w:w="383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000000"/>
                    <w:sz w:val="16"/>
                  </w:rPr>
                  <w:t xml:space="preserve">Página 1 de 1    09/04/2025 14:17:47</w:t>
                </w:r>
              </w:p>
            </w:tc>
          </w:tr>
        </w:tbl>
        <w:p>
          <w:pPr>
            <w:spacing w:after="0" w:line="240" w:lineRule="auto"/>
          </w:pPr>
        </w:p>
      </w:tc>
      <w:tc>
        <w:tcPr>
          <w:tcW w:w="22521" w:type="dxa"/>
        </w:tcPr>
        <w:p>
          <w:pPr>
            <w:pStyle w:val="EmptyCellLayoutStyle"/>
            <w:spacing w:after="0" w:line="240" w:lineRule="auto"/>
          </w:pPr>
        </w:p>
      </w:tc>
    </w:tr>
    <w:tr>
      <w:trPr/>
      <w:tc>
        <w:tcPr>
          <w:tcW w:w="70" w:type="dxa"/>
        </w:tcPr>
        <w:p>
          <w:pPr>
            <w:pStyle w:val="EmptyCellLayoutStyle"/>
            <w:spacing w:after="0" w:line="240" w:lineRule="auto"/>
          </w:pPr>
        </w:p>
      </w:tc>
      <w:tc>
        <w:tcPr>
          <w:tcW w:w="3834" w:type="dxa"/>
        </w:tcPr>
        <w:p>
          <w:pPr>
            <w:pStyle w:val="EmptyCellLayoutStyle"/>
            <w:spacing w:after="0" w:line="240" w:lineRule="auto"/>
          </w:pPr>
        </w:p>
      </w:tc>
      <w:tc>
        <w:tcPr>
          <w:tcW w:w="2252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3"/>
      <w:gridCol w:w="2660"/>
      <w:gridCol w:w="100"/>
      <w:gridCol w:w="6829"/>
      <w:gridCol w:w="13554"/>
    </w:tblGrid>
    <w:tr>
      <w:trPr/>
      <w:tc>
        <w:tcPr>
          <w:tcW w:w="3283" w:type="dxa"/>
        </w:tcPr>
        <w:p>
          <w:pPr>
            <w:pStyle w:val="EmptyCellLayoutStyle"/>
            <w:spacing w:after="0" w:line="240" w:lineRule="auto"/>
          </w:pPr>
        </w:p>
      </w:tc>
      <w:tc>
        <w:tcPr>
          <w:tcW w:w="2660" w:type="dxa"/>
        </w:tcPr>
        <w:p>
          <w:pPr>
            <w:pStyle w:val="EmptyCellLayoutStyle"/>
            <w:spacing w:after="0" w:line="240" w:lineRule="auto"/>
          </w:pPr>
        </w:p>
      </w:tc>
      <w:tc>
        <w:tcPr>
          <w:tcW w:w="100" w:type="dxa"/>
        </w:tcPr>
        <w:p>
          <w:pPr>
            <w:pStyle w:val="EmptyCellLayoutStyle"/>
            <w:spacing w:after="0" w:line="240" w:lineRule="auto"/>
          </w:pPr>
        </w:p>
      </w:tc>
      <w:tc>
        <w:tcPr>
          <w:tcW w:w="6829" w:type="dxa"/>
        </w:tcPr>
        <w:p>
          <w:pPr>
            <w:pStyle w:val="EmptyCellLayoutStyle"/>
            <w:spacing w:after="0" w:line="240" w:lineRule="auto"/>
          </w:pPr>
        </w:p>
      </w:tc>
      <w:tc>
        <w:tcPr>
          <w:tcW w:w="13554" w:type="dxa"/>
        </w:tcPr>
        <w:p>
          <w:pPr>
            <w:pStyle w:val="EmptyCellLayoutStyle"/>
            <w:spacing w:after="0" w:line="240" w:lineRule="auto"/>
          </w:pPr>
        </w:p>
      </w:tc>
    </w:tr>
    <w:tr>
      <w:trPr/>
      <w:tc>
        <w:tcPr>
          <w:tcW w:w="3283" w:type="dxa"/>
        </w:tcPr>
        <w:p>
          <w:pPr>
            <w:pStyle w:val="EmptyCellLayoutStyle"/>
            <w:spacing w:after="0" w:line="240" w:lineRule="auto"/>
          </w:pPr>
        </w:p>
      </w:tc>
      <w:tc>
        <w:tcPr>
          <w:tcW w:w="2660"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84613" cy="5715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84613" cy="571500"/>
                        </a:xfrm>
                        <a:prstGeom prst="rect">
                          <a:avLst/>
                        </a:prstGeom>
                      </pic:spPr>
                    </pic:pic>
                  </a:graphicData>
                </a:graphic>
              </wp:inline>
            </w:drawing>
          </w:r>
        </w:p>
      </w:tc>
      <w:tc>
        <w:tcPr>
          <w:tcW w:w="100" w:type="dxa"/>
        </w:tcPr>
        <w:p>
          <w:pPr>
            <w:pStyle w:val="EmptyCellLayoutStyle"/>
            <w:spacing w:after="0" w:line="240" w:lineRule="auto"/>
          </w:pPr>
        </w:p>
      </w:tc>
      <w:tc>
        <w:tcPr>
          <w:tcW w:w="6829" w:type="dxa"/>
        </w:tcPr>
        <w:tbl>
          <w:tblPr>
            <w:tblCellMar>
              <w:top w:w="0" w:type="dxa"/>
              <w:left w:w="0" w:type="dxa"/>
              <w:bottom w:w="0" w:type="dxa"/>
              <w:right w:w="0" w:type="dxa"/>
            </w:tblCellMar>
          </w:tblPr>
          <w:tblGrid>
            <w:gridCol w:w="6829"/>
          </w:tblGrid>
          <w:tr>
            <w:trPr>
              <w:trHeight w:val="822" w:hRule="atLeast"/>
            </w:trPr>
            <w:tc>
              <w:tcPr>
                <w:tcW w:w="6829"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Tahoma" w:hAnsi="Tahoma" w:eastAsia="Tahoma"/>
                    <w:b/>
                    <w:color w:val="FFFFFF"/>
                    <w:sz w:val="32"/>
                  </w:rPr>
                  <w:t xml:space="preserve">Avaliação da Atuação Governamental</w:t>
                </w:r>
              </w:p>
            </w:tc>
          </w:tr>
        </w:tbl>
        <w:p>
          <w:pPr>
            <w:spacing w:after="0" w:line="240" w:lineRule="auto"/>
          </w:pPr>
        </w:p>
      </w:tc>
      <w:tc>
        <w:tcPr>
          <w:tcW w:w="13554" w:type="dxa"/>
        </w:tcPr>
        <w:p>
          <w:pPr>
            <w:pStyle w:val="EmptyCellLayoutStyle"/>
            <w:spacing w:after="0" w:line="240" w:lineRule="auto"/>
          </w:pPr>
        </w:p>
      </w:tc>
    </w:tr>
    <w:tr>
      <w:trPr/>
      <w:tc>
        <w:tcPr>
          <w:tcW w:w="3283" w:type="dxa"/>
        </w:tcPr>
        <w:p>
          <w:pPr>
            <w:pStyle w:val="EmptyCellLayoutStyle"/>
            <w:spacing w:after="0" w:line="240" w:lineRule="auto"/>
          </w:pPr>
        </w:p>
      </w:tc>
      <w:tc>
        <w:tcPr>
          <w:tcW w:w="2660" w:type="dxa"/>
        </w:tcPr>
        <w:p>
          <w:pPr>
            <w:pStyle w:val="EmptyCellLayoutStyle"/>
            <w:spacing w:after="0" w:line="240" w:lineRule="auto"/>
          </w:pPr>
        </w:p>
      </w:tc>
      <w:tc>
        <w:tcPr>
          <w:tcW w:w="100" w:type="dxa"/>
        </w:tcPr>
        <w:p>
          <w:pPr>
            <w:pStyle w:val="EmptyCellLayoutStyle"/>
            <w:spacing w:after="0" w:line="240" w:lineRule="auto"/>
          </w:pPr>
        </w:p>
      </w:tc>
      <w:tc>
        <w:tcPr>
          <w:tcW w:w="6829" w:type="dxa"/>
        </w:tcPr>
        <w:p>
          <w:pPr>
            <w:pStyle w:val="EmptyCellLayoutStyle"/>
            <w:spacing w:after="0" w:line="240" w:lineRule="auto"/>
          </w:pPr>
        </w:p>
      </w:tc>
      <w:tc>
        <w:tcPr>
          <w:tcW w:w="1355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jp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progov</dc:title>
</cp:coreProperties>
</file>